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山东第一医科大学（山东省医学科学院）科教融合化学与制药人才提升-炔烃复分解项目实验耗材采购竞争性磋商文件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SDGP370000000202302009251</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/sdhryw2023314</w:t>
      </w:r>
    </w:p>
    <w:p>
      <w:pPr>
        <w:pStyle w:val="3"/>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十一</w:t>
      </w:r>
      <w:r>
        <w:rPr>
          <w:rFonts w:hint="eastAsia" w:ascii="仿宋" w:hAnsi="仿宋" w:eastAsia="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4</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10</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10</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10</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10</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13</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山东第一医科大学（山东省医学科学院）科教融合化学与制药人才提升-炔烃复分解项目实验耗材采购</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 xml:space="preserve">山东第一医科大学（山东省医学科学院）科教融合化学与制药人才提升-炔烃复分解项目实验耗材采购 </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SDGP370000000202302009251/sdhryw2023314</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山东第一医科大学（山东省医学科学院）科教融合化学与制药人才提升-炔烃复分解项目实验耗材采购</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36.2</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A包：实验耗材等</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0"/>
        <w:spacing w:line="360" w:lineRule="auto"/>
        <w:ind w:firstLine="482"/>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6</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11月13</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314</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17</w:t>
      </w:r>
      <w:r>
        <w:rPr>
          <w:rFonts w:ascii="Times New Roman" w:hAnsi="Times New Roman"/>
        </w:rPr>
        <w:t>日</w:t>
      </w:r>
      <w:r>
        <w:rPr>
          <w:rFonts w:hint="eastAsia" w:ascii="Times New Roman" w:hAnsi="Times New Roman"/>
          <w:lang w:val="en-US" w:eastAsia="zh-CN"/>
        </w:rPr>
        <w:t>13</w:t>
      </w:r>
      <w:r>
        <w:rPr>
          <w:rFonts w:hint="eastAsia" w:ascii="Times New Roman" w:hAnsi="Times New Roman"/>
        </w:rPr>
        <w:t>:</w:t>
      </w:r>
      <w:r>
        <w:rPr>
          <w:rFonts w:hint="eastAsia" w:ascii="Times New Roman" w:hAnsi="Times New Roman"/>
          <w:lang w:val="en-US" w:eastAsia="zh-CN"/>
        </w:rPr>
        <w:t>3</w:t>
      </w:r>
      <w:r>
        <w:rPr>
          <w:rFonts w:ascii="Times New Roman" w:hAnsi="Times New Roman"/>
        </w:rPr>
        <w:t>0-</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w:t>
      </w:r>
      <w:r>
        <w:rPr>
          <w:rFonts w:ascii="Times New Roman" w:hAnsi="Times New Roman"/>
        </w:rPr>
        <w:t>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17</w:t>
      </w:r>
      <w:r>
        <w:rPr>
          <w:rFonts w:ascii="Times New Roman" w:hAnsi="Times New Roman"/>
        </w:rPr>
        <w:t>日</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w:t>
      </w:r>
      <w:r>
        <w:rPr>
          <w:rFonts w:ascii="Times New Roman" w:hAnsi="Times New Roman"/>
        </w:rPr>
        <w:t>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val="en-US" w:eastAsia="zh-CN"/>
        </w:rPr>
        <w:t>山东省</w:t>
      </w:r>
      <w:r>
        <w:rPr>
          <w:rFonts w:hint="eastAsia" w:ascii="Times New Roman" w:hAnsi="Times New Roman"/>
          <w:lang w:eastAsia="zh-CN"/>
        </w:rPr>
        <w:t>泰安市长城路619号山东第一医科大学长城路校区综合实验楼A428</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济南市历下区经十路13777号中润世纪广场18号楼603A</w:t>
      </w:r>
    </w:p>
    <w:p>
      <w:pPr>
        <w:pStyle w:val="30"/>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0"/>
        <w:spacing w:line="360" w:lineRule="auto"/>
        <w:ind w:firstLine="480"/>
        <w:rPr>
          <w:rFonts w:hint="eastAsia" w:ascii="Times New Roman" w:hAnsi="Times New Roman" w:eastAsia="仿宋"/>
          <w:lang w:eastAsia="zh-CN"/>
        </w:rPr>
      </w:pPr>
      <w:r>
        <w:rPr>
          <w:rFonts w:ascii="Times New Roman" w:hAnsi="Times New Roman"/>
        </w:rPr>
        <w:t>4、</w:t>
      </w:r>
      <w:r>
        <w:rPr>
          <w:rFonts w:hint="eastAsia" w:ascii="Times New Roman" w:hAnsi="Times New Roman"/>
        </w:rPr>
        <w:t>报名咨询电话：</w:t>
      </w:r>
      <w:r>
        <w:rPr>
          <w:rFonts w:hint="eastAsia" w:ascii="Times New Roman" w:hAnsi="Times New Roman"/>
          <w:lang w:val="en-US" w:eastAsia="zh-CN"/>
        </w:rPr>
        <w:t>0531-88589237</w:t>
      </w:r>
      <w:r>
        <w:rPr>
          <w:rFonts w:hint="eastAsia" w:ascii="仿宋" w:hAnsi="仿宋" w:cs="仿宋"/>
          <w:color w:val="auto"/>
          <w:sz w:val="24"/>
          <w:highlight w:val="none"/>
          <w:lang w:val="en-US" w:eastAsia="zh-CN"/>
        </w:rPr>
        <w:t xml:space="preserve"> </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63"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hint="default" w:ascii="Times New Roman" w:hAnsi="Times New Roman" w:eastAsia="仿宋"/>
                <w:lang w:val="en-US" w:eastAsia="zh-CN"/>
              </w:rPr>
            </w:pPr>
            <w:r>
              <w:rPr>
                <w:rFonts w:hint="eastAsia" w:ascii="Times New Roman" w:hAnsi="Times New Roman"/>
                <w:lang w:val="en-US" w:eastAsia="zh-CN"/>
              </w:rPr>
              <w:t xml:space="preserve"> 37000000014006520230403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hint="eastAsia" w:ascii="Times New Roman" w:hAnsi="Times New Roman" w:eastAsia="仿宋"/>
                <w:szCs w:val="24"/>
                <w:lang w:eastAsia="zh-CN"/>
              </w:rPr>
            </w:pPr>
            <w:r>
              <w:rPr>
                <w:rFonts w:hint="eastAsia" w:ascii="Times New Roman" w:hAnsi="Times New Roman"/>
                <w:kern w:val="0"/>
                <w:szCs w:val="24"/>
                <w:lang w:eastAsia="zh-CN"/>
              </w:rPr>
              <w:t>一年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p>
            <w:pPr>
              <w:adjustRightInd w:val="0"/>
              <w:snapToGrid w:val="0"/>
              <w:spacing w:line="360" w:lineRule="auto"/>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hint="eastAsia" w:ascii="Times New Roman" w:hAnsi="Times New Roman"/>
                <w:szCs w:val="24"/>
              </w:rPr>
            </w:pPr>
            <w:r>
              <w:rPr>
                <w:rFonts w:hint="eastAsia" w:ascii="Times New Roman" w:hAnsi="Times New Roman"/>
                <w:szCs w:val="24"/>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履约保证金在验收合格后满一年后，没有任何质量问题，由中标人向采购人提交申请，采购人根据履约情况无息退还给中标人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17</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w:t>
            </w:r>
            <w:r>
              <w:rPr>
                <w:rFonts w:hint="eastAsia" w:ascii="Times New Roman" w:hAnsi="Times New Roman"/>
                <w:szCs w:val="24"/>
                <w:lang w:val="en-US" w:eastAsia="zh-CN"/>
              </w:rPr>
              <w:t>3</w:t>
            </w:r>
            <w:r>
              <w:rPr>
                <w:rFonts w:ascii="Times New Roman" w:hAnsi="Times New Roman"/>
                <w:szCs w:val="24"/>
              </w:rPr>
              <w:t>0-</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lang w:val="en-US" w:eastAsia="zh-CN"/>
              </w:rPr>
              <w:t>山东省</w:t>
            </w:r>
            <w:r>
              <w:rPr>
                <w:rFonts w:hint="eastAsia" w:ascii="Times New Roman" w:hAnsi="Times New Roman"/>
                <w:lang w:eastAsia="zh-CN"/>
              </w:rPr>
              <w:t>泰安市长城路619号山东第一医科大学（山东省医学科学院）长城路校区综合实验楼A428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17</w:t>
            </w:r>
            <w:r>
              <w:rPr>
                <w:rFonts w:ascii="Times New Roman" w:hAnsi="Times New Roman"/>
                <w:szCs w:val="24"/>
              </w:rPr>
              <w:t>日</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lang w:val="en-US" w:eastAsia="zh-CN"/>
              </w:rPr>
              <w:t>山东省</w:t>
            </w:r>
            <w:r>
              <w:rPr>
                <w:rFonts w:hint="eastAsia" w:ascii="Times New Roman" w:hAnsi="Times New Roman"/>
                <w:lang w:eastAsia="zh-CN"/>
              </w:rPr>
              <w:t>泰安市长城路619号山东第一医科大学（山东省医学科学院）长城路校区综合实验楼A428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w:t>
            </w:r>
            <w:r>
              <w:rPr>
                <w:rFonts w:hint="eastAsia" w:ascii="Times New Roman" w:hAnsi="Times New Roman"/>
                <w:szCs w:val="24"/>
                <w:lang w:val="en-US" w:eastAsia="zh-CN"/>
              </w:rPr>
              <w:t>(</w:t>
            </w:r>
            <w:r>
              <w:rPr>
                <w:rFonts w:hint="eastAsia" w:ascii="Times New Roman" w:hAnsi="Times New Roman"/>
                <w:szCs w:val="24"/>
              </w:rPr>
              <w:t>不足500元，按500元收取</w:t>
            </w:r>
            <w:r>
              <w:rPr>
                <w:rFonts w:hint="eastAsia" w:ascii="Times New Roman" w:hAnsi="Times New Roman"/>
                <w:szCs w:val="24"/>
                <w:lang w:val="en-US" w:eastAsia="zh-CN"/>
              </w:rPr>
              <w:t>,上限1000元/每包）</w:t>
            </w:r>
            <w:r>
              <w:rPr>
                <w:rFonts w:hint="eastAsia" w:ascii="Times New Roman" w:hAnsi="Times New Roman"/>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9"/>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widowControl/>
        <w:spacing w:line="360" w:lineRule="auto"/>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bookmarkStart w:id="5" w:name="_Toc81467282"/>
            <w:bookmarkStart w:id="7" w:name="_GoBack"/>
            <w:r>
              <w:rPr>
                <w:rFonts w:hint="eastAsia" w:ascii="仿宋" w:hAnsi="仿宋" w:eastAsia="仿宋" w:cs="仿宋"/>
                <w:bCs/>
                <w:color w:val="auto"/>
                <w:sz w:val="24"/>
                <w:highlight w:val="none"/>
              </w:rPr>
              <w:t>投标报价</w:t>
            </w:r>
          </w:p>
          <w:p>
            <w:pPr>
              <w:pStyle w:val="11"/>
              <w:shd w:val="clear"/>
              <w:spacing w:after="0" w:line="48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30分</w:t>
            </w:r>
          </w:p>
        </w:tc>
        <w:tc>
          <w:tcPr>
            <w:tcW w:w="7512" w:type="dxa"/>
            <w:noWrap w:val="0"/>
            <w:vAlign w:val="center"/>
          </w:tcPr>
          <w:p>
            <w:pPr>
              <w:pStyle w:val="11"/>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以满足</w:t>
            </w:r>
            <w:r>
              <w:rPr>
                <w:rFonts w:hint="eastAsia" w:ascii="仿宋" w:hAnsi="仿宋" w:cs="仿宋"/>
                <w:bCs/>
                <w:color w:val="auto"/>
                <w:sz w:val="24"/>
                <w:highlight w:val="none"/>
                <w:lang w:eastAsia="zh-CN"/>
              </w:rPr>
              <w:t>磋商</w:t>
            </w:r>
            <w:r>
              <w:rPr>
                <w:rFonts w:hint="eastAsia" w:ascii="仿宋" w:hAnsi="仿宋" w:eastAsia="仿宋" w:cs="仿宋"/>
                <w:bCs/>
                <w:color w:val="auto"/>
                <w:sz w:val="24"/>
                <w:highlight w:val="none"/>
              </w:rPr>
              <w:t>文件要求且</w:t>
            </w:r>
            <w:r>
              <w:rPr>
                <w:rFonts w:hint="eastAsia" w:ascii="仿宋" w:hAnsi="仿宋" w:cs="仿宋"/>
                <w:bCs/>
                <w:color w:val="auto"/>
                <w:sz w:val="24"/>
                <w:highlight w:val="none"/>
                <w:lang w:eastAsia="zh-CN"/>
              </w:rPr>
              <w:t>最终报价</w:t>
            </w:r>
            <w:r>
              <w:rPr>
                <w:rFonts w:hint="eastAsia" w:ascii="仿宋" w:hAnsi="仿宋" w:eastAsia="仿宋" w:cs="仿宋"/>
                <w:bCs/>
                <w:color w:val="auto"/>
                <w:sz w:val="24"/>
                <w:highlight w:val="none"/>
              </w:rPr>
              <w:t>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对采购文件技术规格要求的响应程度</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w:t>
            </w:r>
          </w:p>
        </w:tc>
        <w:tc>
          <w:tcPr>
            <w:tcW w:w="7512" w:type="dxa"/>
            <w:noWrap w:val="0"/>
            <w:vAlign w:val="center"/>
          </w:tcPr>
          <w:p>
            <w:pPr>
              <w:pStyle w:val="11"/>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参数全部满足，得</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分；每存在一项负偏离减</w:t>
            </w:r>
            <w:r>
              <w:rPr>
                <w:rFonts w:hint="eastAsia" w:ascii="仿宋" w:hAnsi="仿宋" w:cs="仿宋"/>
                <w:bCs/>
                <w:color w:val="auto"/>
                <w:sz w:val="24"/>
                <w:highlight w:val="none"/>
                <w:lang w:val="en-US" w:eastAsia="zh-CN"/>
              </w:rPr>
              <w:t>2</w:t>
            </w:r>
            <w:r>
              <w:rPr>
                <w:rFonts w:hint="eastAsia" w:ascii="仿宋" w:hAnsi="仿宋" w:eastAsia="仿宋" w:cs="仿宋"/>
                <w:bCs/>
                <w:color w:val="auto"/>
                <w:sz w:val="24"/>
                <w:highlight w:val="none"/>
              </w:rPr>
              <w:t>分，投标文件负偏离达到</w:t>
            </w:r>
            <w:r>
              <w:rPr>
                <w:rFonts w:hint="eastAsia" w:ascii="仿宋" w:hAnsi="仿宋" w:eastAsia="仿宋" w:cs="仿宋"/>
                <w:bCs/>
                <w:color w:val="auto"/>
                <w:sz w:val="24"/>
                <w:highlight w:val="none"/>
                <w:lang w:val="en-US" w:eastAsia="zh-CN"/>
              </w:rPr>
              <w:t>1</w:t>
            </w:r>
            <w:r>
              <w:rPr>
                <w:rFonts w:hint="eastAsia" w:ascii="仿宋" w:hAnsi="仿宋" w:cs="仿宋"/>
                <w:bCs/>
                <w:color w:val="auto"/>
                <w:sz w:val="24"/>
                <w:highlight w:val="none"/>
                <w:lang w:val="en-US" w:eastAsia="zh-CN"/>
              </w:rPr>
              <w:t>5</w:t>
            </w:r>
            <w:r>
              <w:rPr>
                <w:rFonts w:hint="eastAsia" w:ascii="仿宋" w:hAnsi="仿宋" w:eastAsia="仿宋" w:cs="仿宋"/>
                <w:bCs/>
                <w:color w:val="auto"/>
                <w:sz w:val="24"/>
                <w:highlight w:val="none"/>
              </w:rPr>
              <w:t>条及以上的，评标委员会可视为其投标文件不满足招标文件技术要求，本项得0分。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实施方案</w:t>
            </w:r>
          </w:p>
          <w:p>
            <w:pPr>
              <w:pStyle w:val="11"/>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6分</w:t>
            </w:r>
          </w:p>
        </w:tc>
        <w:tc>
          <w:tcPr>
            <w:tcW w:w="7512" w:type="dxa"/>
            <w:noWrap w:val="0"/>
            <w:vAlign w:val="center"/>
          </w:tcPr>
          <w:p>
            <w:pPr>
              <w:pStyle w:val="11"/>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对供应商提供的具体实施方案进行评审，根据项目实施进度、质量保证措施等进行综合评审，每项完全满足得3分，满分6分每有一项不足扣1分。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both"/>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存储、运输及应急方案</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rPr>
              <w:t>分</w:t>
            </w:r>
          </w:p>
        </w:tc>
        <w:tc>
          <w:tcPr>
            <w:tcW w:w="7512" w:type="dxa"/>
            <w:noWrap w:val="0"/>
            <w:vAlign w:val="center"/>
          </w:tcPr>
          <w:p>
            <w:pPr>
              <w:pStyle w:val="11"/>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供应商或制造商有详细、符合项目实际的需求的运输、存储方案</w:t>
            </w:r>
            <w:r>
              <w:rPr>
                <w:rFonts w:hint="eastAsia" w:ascii="仿宋" w:hAnsi="仿宋" w:eastAsia="仿宋" w:cs="仿宋"/>
                <w:bCs/>
                <w:color w:val="auto"/>
                <w:sz w:val="24"/>
                <w:highlight w:val="none"/>
                <w:lang w:eastAsia="zh-CN"/>
              </w:rPr>
              <w:t>及应急方案的</w:t>
            </w:r>
            <w:r>
              <w:rPr>
                <w:rFonts w:hint="eastAsia" w:ascii="仿宋" w:hAnsi="仿宋" w:eastAsia="仿宋" w:cs="仿宋"/>
                <w:bCs/>
                <w:color w:val="auto"/>
                <w:sz w:val="24"/>
                <w:highlight w:val="none"/>
              </w:rPr>
              <w:t>等综合评分</w:t>
            </w:r>
            <w:r>
              <w:rPr>
                <w:rFonts w:hint="eastAsia" w:ascii="仿宋" w:hAnsi="仿宋" w:eastAsia="仿宋" w:cs="仿宋"/>
                <w:bCs/>
                <w:color w:val="auto"/>
                <w:sz w:val="24"/>
                <w:highlight w:val="none"/>
                <w:lang w:eastAsia="zh-CN"/>
              </w:rPr>
              <w:t>。运输、储存方案及应急方案完全满足项目需求，切实可行，具有针对性的得</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lang w:val="en-US" w:eastAsia="zh-CN"/>
              </w:rPr>
              <w:t>分，如</w:t>
            </w:r>
            <w:r>
              <w:rPr>
                <w:rFonts w:hint="eastAsia" w:ascii="仿宋" w:hAnsi="仿宋" w:eastAsia="仿宋" w:cs="仿宋"/>
                <w:bCs/>
                <w:color w:val="auto"/>
                <w:sz w:val="24"/>
                <w:highlight w:val="none"/>
                <w:lang w:eastAsia="zh-CN"/>
              </w:rPr>
              <w:t>运输、储存方案及应急方案没有针对性、不切实际等，</w:t>
            </w:r>
            <w:r>
              <w:rPr>
                <w:rFonts w:hint="eastAsia" w:ascii="仿宋" w:hAnsi="仿宋" w:eastAsia="仿宋" w:cs="仿宋"/>
                <w:bCs/>
                <w:color w:val="auto"/>
                <w:sz w:val="24"/>
                <w:highlight w:val="none"/>
              </w:rPr>
              <w:t>每存在一项扣1分，对于偏差内容较大之处，每存在一项扣</w:t>
            </w:r>
            <w:r>
              <w:rPr>
                <w:rFonts w:hint="eastAsia" w:ascii="仿宋" w:hAnsi="仿宋" w:cs="仿宋"/>
                <w:bCs/>
                <w:color w:val="auto"/>
                <w:sz w:val="24"/>
                <w:highlight w:val="none"/>
                <w:lang w:val="en-US" w:eastAsia="zh-CN"/>
              </w:rPr>
              <w:t>4</w:t>
            </w:r>
            <w:r>
              <w:rPr>
                <w:rFonts w:hint="eastAsia" w:ascii="仿宋" w:hAnsi="仿宋" w:eastAsia="仿宋" w:cs="仿宋"/>
                <w:bCs/>
                <w:color w:val="auto"/>
                <w:sz w:val="24"/>
                <w:highlight w:val="none"/>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服务支持</w:t>
            </w:r>
          </w:p>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15</w:t>
            </w:r>
            <w:r>
              <w:rPr>
                <w:rFonts w:hint="eastAsia" w:ascii="仿宋" w:hAnsi="仿宋" w:eastAsia="仿宋" w:cs="仿宋"/>
                <w:bCs/>
                <w:color w:val="auto"/>
                <w:sz w:val="24"/>
                <w:highlight w:val="none"/>
              </w:rPr>
              <w:t>分</w:t>
            </w:r>
          </w:p>
        </w:tc>
        <w:tc>
          <w:tcPr>
            <w:tcW w:w="7512" w:type="dxa"/>
            <w:noWrap w:val="0"/>
            <w:vAlign w:val="top"/>
          </w:tcPr>
          <w:p>
            <w:pPr>
              <w:shd w:val="clear"/>
              <w:tabs>
                <w:tab w:val="left" w:pos="7215"/>
              </w:tabs>
              <w:spacing w:line="360" w:lineRule="auto"/>
              <w:ind w:left="0" w:leftChars="0" w:firstLine="0" w:firstLineChars="0"/>
              <w:jc w:val="left"/>
              <w:rPr>
                <w:rFonts w:hint="eastAsia" w:ascii="仿宋" w:hAnsi="仿宋" w:eastAsia="仿宋" w:cs="仿宋"/>
                <w:bCs/>
                <w:color w:val="auto"/>
                <w:sz w:val="24"/>
                <w:highlight w:val="none"/>
                <w:lang w:val="en-US" w:eastAsia="zh-CN"/>
              </w:rPr>
            </w:pPr>
            <w:r>
              <w:rPr>
                <w:rFonts w:hint="eastAsia" w:ascii="仿宋" w:hAnsi="仿宋" w:eastAsia="仿宋" w:cs="仿宋"/>
                <w:color w:val="auto"/>
                <w:sz w:val="24"/>
                <w:szCs w:val="24"/>
                <w:highlight w:val="none"/>
              </w:rPr>
              <w:t>对投标人①服务机构设置、②服务方案、③服务人员的配置、④响应时间及响应程度，⑤解决问题的能力和紧急故障处理预案等进行综合评价，以上五项每项完全满足招标文件要求得3分，共15分。其中服务机构设置不合理、服务方案考虑不周全、人员配置不合理响应不够充分、解决问题能力较弱，以上内容每存在一项扣1分，对于偏差内容较大之处，每存在一项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业绩</w:t>
            </w:r>
          </w:p>
          <w:p>
            <w:pPr>
              <w:pStyle w:val="11"/>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w:t>
            </w:r>
          </w:p>
        </w:tc>
        <w:tc>
          <w:tcPr>
            <w:tcW w:w="7512" w:type="dxa"/>
            <w:noWrap w:val="0"/>
            <w:vAlign w:val="center"/>
          </w:tcPr>
          <w:p>
            <w:pPr>
              <w:pStyle w:val="11"/>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11</w:t>
            </w:r>
            <w:r>
              <w:rPr>
                <w:rFonts w:hint="eastAsia" w:ascii="仿宋" w:hAnsi="仿宋" w:eastAsia="仿宋" w:cs="仿宋"/>
                <w:bCs/>
                <w:color w:val="auto"/>
                <w:sz w:val="24"/>
                <w:highlight w:val="none"/>
              </w:rPr>
              <w:t>月至投标截止日止，以合同签订时间为准）完成同类项目的业绩，每提供1项业绩得1分，最高得</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分。注：1.供应商需提供中标合同</w:t>
            </w:r>
            <w:r>
              <w:rPr>
                <w:rFonts w:hint="eastAsia" w:ascii="仿宋" w:hAnsi="仿宋" w:eastAsia="仿宋" w:cs="仿宋"/>
                <w:bCs/>
                <w:color w:val="auto"/>
                <w:sz w:val="24"/>
                <w:highlight w:val="none"/>
                <w:lang w:eastAsia="zh-CN"/>
              </w:rPr>
              <w:t>复印件</w:t>
            </w:r>
            <w:r>
              <w:rPr>
                <w:rFonts w:hint="eastAsia" w:ascii="仿宋" w:hAnsi="仿宋" w:eastAsia="仿宋" w:cs="仿宋"/>
                <w:bCs/>
                <w:color w:val="auto"/>
                <w:sz w:val="24"/>
                <w:highlight w:val="none"/>
              </w:rPr>
              <w:t>，否则业绩不予认可。</w:t>
            </w:r>
          </w:p>
          <w:p>
            <w:pPr>
              <w:pStyle w:val="11"/>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2.需为投标产品销售至最终使用单位的业绩合同。</w:t>
            </w:r>
          </w:p>
        </w:tc>
      </w:tr>
      <w:bookmarkEnd w:id="7"/>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tbl>
      <w:tblPr>
        <w:tblStyle w:val="21"/>
        <w:tblW w:w="93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8"/>
        <w:gridCol w:w="2373"/>
        <w:gridCol w:w="877"/>
        <w:gridCol w:w="777"/>
        <w:gridCol w:w="4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设备名称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3"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细胞不渗透的核酸染色剂</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包装: 10盒/箱，200微升/盒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细胞膜染色试剂盒</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包装: 10盒/箱，100微升/盒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200目多功能微栅铜网</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100枚/盒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0"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4英寸 半导体级 二氧化硅片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25片/盒，单面抛光双面氧化275nm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5"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C18色谱柱</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250x4.6mm，5um，使用高纯硅胶和新一代端基封尾技术，确保了良好的峰形和校间里现俭，同时拥有低校压、高保留和耐低pH 的特点，适合分析较中药、食品中的添加剂等“脏样品”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4"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石英比色皿</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容量: 0.35ml；材质: 远紫外石英玻璃190nm-2500nm；包装: 50盒/箱，2个/盒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1升金属浴</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含加热模块+金属砂+固定板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高压色谱柱</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耐压60MPa，Shim-pack XR-ODS II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过滤系统</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套</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500毫升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DAPI染色试剂盒（即用）</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包装: 50盒/箱，50mL/盒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乳胶手套</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包装: 10盒/箱，1000只/盒</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pStyle w:val="2"/>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、交货期：</w:t>
      </w:r>
      <w:r>
        <w:rPr>
          <w:rFonts w:hint="eastAsia" w:ascii="仿宋" w:hAnsi="仿宋" w:cs="仿宋"/>
          <w:b w:val="0"/>
          <w:bCs w:val="0"/>
          <w:color w:val="auto"/>
          <w:sz w:val="24"/>
          <w:szCs w:val="24"/>
          <w:highlight w:val="none"/>
          <w:lang w:eastAsia="zh-CN"/>
        </w:rPr>
        <w:t>按甲方要求供货</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、交货地点：严格按照国家相关要求的运输方式送到用户指定地点。</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val="en-US" w:eastAsia="zh-CN"/>
        </w:rPr>
        <w:t>、质量保证期：到货后验收发现外箱破损或受潮、污染的，供应商须免费更换此产品。如产品出现问题用户通知卖方后应在24小时内答复，并尽快解决问题。</w:t>
      </w:r>
      <w:r>
        <w:rPr>
          <w:rFonts w:hint="eastAsia" w:ascii="仿宋" w:hAnsi="仿宋" w:cs="仿宋"/>
          <w:b w:val="0"/>
          <w:bCs w:val="0"/>
          <w:color w:val="auto"/>
          <w:sz w:val="24"/>
          <w:szCs w:val="24"/>
          <w:highlight w:val="none"/>
          <w:lang w:val="en-US" w:eastAsia="zh-CN"/>
        </w:rPr>
        <w:t>（供应商自报质保期）</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、供货地点：所有产品的供货、安装地点均由用户指定。</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、报价需逐条报价，不得有空项。</w:t>
      </w:r>
    </w:p>
    <w:p>
      <w:pPr>
        <w:rPr>
          <w:rFonts w:hint="eastAsia"/>
          <w:lang w:val="en-US" w:eastAsia="zh-CN"/>
        </w:rPr>
      </w:pPr>
      <w:r>
        <w:rPr>
          <w:rFonts w:hint="eastAsia"/>
          <w:lang w:val="en-US" w:eastAsia="zh-CN"/>
        </w:rPr>
        <w:t>6、验收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招标文件、投标文件、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r>
        <w:rPr>
          <w:rFonts w:hint="eastAsia"/>
        </w:rPr>
        <w:t>。</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7、</w:t>
      </w:r>
      <w:r>
        <w:rPr>
          <w:rFonts w:hint="eastAsia" w:ascii="仿宋" w:hAnsi="仿宋" w:eastAsia="仿宋" w:cs="仿宋"/>
          <w:color w:val="auto"/>
          <w:sz w:val="24"/>
          <w:highlight w:val="none"/>
        </w:rPr>
        <w:t>付款方式：</w:t>
      </w:r>
    </w:p>
    <w:p>
      <w:pPr>
        <w:pStyle w:val="2"/>
        <w:spacing w:line="360" w:lineRule="auto"/>
        <w:ind w:left="0" w:leftChars="0" w:firstLine="480"/>
        <w:rPr>
          <w:rFonts w:hint="eastAsia" w:ascii="宋体" w:hAnsi="宋体" w:eastAsia="仿宋" w:cs="宋体"/>
          <w:color w:val="auto"/>
          <w:sz w:val="24"/>
          <w:highlight w:val="none"/>
          <w:lang w:eastAsia="zh-CN"/>
        </w:rPr>
      </w:pPr>
      <w:r>
        <w:rPr>
          <w:rFonts w:hint="eastAsia" w:ascii="宋体" w:hAnsi="宋体" w:cs="宋体"/>
          <w:color w:val="auto"/>
          <w:sz w:val="24"/>
          <w:highlight w:val="none"/>
          <w:lang w:eastAsia="zh-CN"/>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cs="仿宋"/>
          <w:color w:val="auto"/>
          <w:sz w:val="24"/>
          <w:szCs w:val="24"/>
          <w:highlight w:val="none"/>
        </w:rPr>
        <w:t>履约保证金在验收合格后满一年后，没有任何质量问题，由中标人向采购人提交申请，采购人根据履约情况无息退还给中标人</w:t>
      </w:r>
      <w:r>
        <w:rPr>
          <w:rFonts w:hint="eastAsia" w:ascii="仿宋" w:hAnsi="仿宋" w:eastAsia="仿宋" w:cs="仿宋"/>
          <w:color w:val="auto"/>
          <w:sz w:val="24"/>
          <w:highlight w:val="none"/>
        </w:rPr>
        <w:t>。</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ind w:firstLine="480" w:firstLineChars="200"/>
        <w:rPr>
          <w:rFonts w:hint="eastAsia" w:ascii="仿宋" w:hAnsi="仿宋" w:eastAsia="仿宋" w:cs="仿宋"/>
          <w:color w:val="auto"/>
          <w:highlight w:val="none"/>
        </w:rPr>
      </w:pPr>
      <w:r>
        <w:rPr>
          <w:rFonts w:hint="eastAsia" w:ascii="仿宋" w:hAnsi="仿宋" w:cs="仿宋"/>
          <w:color w:val="auto"/>
          <w:sz w:val="24"/>
          <w:highlight w:val="none"/>
          <w:lang w:val="en-US" w:eastAsia="zh-CN"/>
        </w:rPr>
        <w:t>9</w:t>
      </w:r>
      <w:r>
        <w:rPr>
          <w:rFonts w:hint="eastAsia" w:ascii="仿宋" w:hAnsi="仿宋" w:eastAsia="仿宋" w:cs="仿宋"/>
          <w:color w:val="auto"/>
          <w:sz w:val="24"/>
          <w:highlight w:val="none"/>
        </w:rPr>
        <w:t>、若有其他优惠请自报。</w:t>
      </w: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eastAsia"/>
        <w:lang w:eastAsia="zh-CN"/>
      </w:rPr>
    </w:pPr>
    <w:r>
      <w:rPr>
        <w:rFonts w:hint="eastAsia"/>
        <w:lang w:eastAsia="zh-CN"/>
      </w:rPr>
      <w:t xml:space="preserve">山东第一医科大学（山东省医学科学院）科教融合化学与制药人才提升-炔烃复分解项目实验耗材采购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3103BAE"/>
    <w:rsid w:val="04110F7E"/>
    <w:rsid w:val="05AB0E45"/>
    <w:rsid w:val="05E460C8"/>
    <w:rsid w:val="075637DD"/>
    <w:rsid w:val="082E0105"/>
    <w:rsid w:val="09063A89"/>
    <w:rsid w:val="0B536D2E"/>
    <w:rsid w:val="0C590374"/>
    <w:rsid w:val="0E753EF5"/>
    <w:rsid w:val="101822F4"/>
    <w:rsid w:val="1491260A"/>
    <w:rsid w:val="152627CF"/>
    <w:rsid w:val="15A32D0F"/>
    <w:rsid w:val="1B434A71"/>
    <w:rsid w:val="1F153A5D"/>
    <w:rsid w:val="1F884DA0"/>
    <w:rsid w:val="216B7C05"/>
    <w:rsid w:val="25FD3D27"/>
    <w:rsid w:val="273B08EE"/>
    <w:rsid w:val="29286B8A"/>
    <w:rsid w:val="2B6A1417"/>
    <w:rsid w:val="2E6E4C8A"/>
    <w:rsid w:val="2EB33487"/>
    <w:rsid w:val="30926B16"/>
    <w:rsid w:val="31537385"/>
    <w:rsid w:val="31832300"/>
    <w:rsid w:val="34A75871"/>
    <w:rsid w:val="34DF500B"/>
    <w:rsid w:val="36301896"/>
    <w:rsid w:val="36E342CE"/>
    <w:rsid w:val="39F33E3D"/>
    <w:rsid w:val="3A230C04"/>
    <w:rsid w:val="40161AFD"/>
    <w:rsid w:val="402C195C"/>
    <w:rsid w:val="40752FE6"/>
    <w:rsid w:val="40D73BA8"/>
    <w:rsid w:val="437339E5"/>
    <w:rsid w:val="4586511D"/>
    <w:rsid w:val="487773F6"/>
    <w:rsid w:val="4A5C2C54"/>
    <w:rsid w:val="4E1A6C5C"/>
    <w:rsid w:val="4E5C73E5"/>
    <w:rsid w:val="4F0C0C9A"/>
    <w:rsid w:val="4F934F18"/>
    <w:rsid w:val="4F9B00EC"/>
    <w:rsid w:val="51E101BC"/>
    <w:rsid w:val="550F6DEF"/>
    <w:rsid w:val="59611BE3"/>
    <w:rsid w:val="622B2D11"/>
    <w:rsid w:val="63E82DAB"/>
    <w:rsid w:val="6C871509"/>
    <w:rsid w:val="6F6B6EC0"/>
    <w:rsid w:val="71686BB4"/>
    <w:rsid w:val="718D136F"/>
    <w:rsid w:val="73927793"/>
    <w:rsid w:val="75390472"/>
    <w:rsid w:val="75BB6235"/>
    <w:rsid w:val="78B73A67"/>
    <w:rsid w:val="7C6D4277"/>
    <w:rsid w:val="7C821E87"/>
    <w:rsid w:val="7CBA3059"/>
    <w:rsid w:val="7D32369A"/>
    <w:rsid w:val="7D776570"/>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next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Body Text"/>
    <w:basedOn w:val="1"/>
    <w:next w:val="1"/>
    <w:qFormat/>
    <w:uiPriority w:val="0"/>
    <w:pPr>
      <w:spacing w:after="120"/>
    </w:pPr>
  </w:style>
  <w:style w:type="paragraph" w:styleId="12">
    <w:name w:val="Plain Text"/>
    <w:basedOn w:val="1"/>
    <w:link w:val="35"/>
    <w:qFormat/>
    <w:uiPriority w:val="0"/>
    <w:rPr>
      <w:rFonts w:ascii="宋体" w:hAnsi="Courier New" w:eastAsia="宋体"/>
      <w:sz w:val="21"/>
    </w:rPr>
  </w:style>
  <w:style w:type="paragraph" w:styleId="13">
    <w:name w:val="Balloon Text"/>
    <w:basedOn w:val="1"/>
    <w:link w:val="44"/>
    <w:semiHidden/>
    <w:unhideWhenUsed/>
    <w:qFormat/>
    <w:uiPriority w:val="99"/>
    <w:pPr>
      <w:spacing w:line="240" w:lineRule="auto"/>
    </w:pPr>
    <w:rPr>
      <w:sz w:val="18"/>
      <w:szCs w:val="18"/>
    </w:rPr>
  </w:style>
  <w:style w:type="paragraph" w:styleId="14">
    <w:name w:val="footer"/>
    <w:basedOn w:val="1"/>
    <w:link w:val="26"/>
    <w:unhideWhenUsed/>
    <w:qFormat/>
    <w:uiPriority w:val="99"/>
    <w:pPr>
      <w:tabs>
        <w:tab w:val="center" w:pos="4153"/>
        <w:tab w:val="right" w:pos="8306"/>
      </w:tabs>
      <w:snapToGrid w:val="0"/>
    </w:pPr>
    <w:rPr>
      <w:sz w:val="18"/>
      <w:szCs w:val="18"/>
    </w:rPr>
  </w:style>
  <w:style w:type="paragraph" w:styleId="15">
    <w:name w:val="envelope return"/>
    <w:basedOn w:val="1"/>
    <w:qFormat/>
    <w:uiPriority w:val="0"/>
    <w:pPr>
      <w:snapToGrid w:val="0"/>
      <w:spacing w:line="360" w:lineRule="auto"/>
    </w:pPr>
    <w:rPr>
      <w:rFonts w:ascii="Arial" w:hAnsi="Arial"/>
      <w:sz w:val="24"/>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9"/>
    <w:next w:val="9"/>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6"/>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1">
    <w:name w:val="标题 2 字符"/>
    <w:basedOn w:val="22"/>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4"/>
    <w:qFormat/>
    <w:uiPriority w:val="9"/>
    <w:rPr>
      <w:rFonts w:ascii="Calibri" w:hAnsi="Calibri" w:eastAsia="仿宋" w:cs="Times New Roman"/>
      <w:b/>
      <w:bCs/>
      <w:kern w:val="44"/>
      <w:sz w:val="44"/>
      <w:szCs w:val="44"/>
    </w:rPr>
  </w:style>
  <w:style w:type="character" w:customStyle="1" w:styleId="34">
    <w:name w:val="正文文本 3 字符"/>
    <w:basedOn w:val="22"/>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9"/>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3">
    <w:name w:val="批注主题 字符"/>
    <w:basedOn w:val="40"/>
    <w:link w:val="20"/>
    <w:semiHidden/>
    <w:qFormat/>
    <w:uiPriority w:val="99"/>
    <w:rPr>
      <w:rFonts w:ascii="Calibri" w:hAnsi="Calibri" w:eastAsia="仿宋" w:cs="Times New Roman"/>
      <w:b/>
      <w:bCs/>
      <w:sz w:val="24"/>
      <w:szCs w:val="20"/>
    </w:rPr>
  </w:style>
  <w:style w:type="character" w:customStyle="1" w:styleId="44">
    <w:name w:val="批注框文本 字符"/>
    <w:basedOn w:val="22"/>
    <w:link w:val="13"/>
    <w:semiHidden/>
    <w:qFormat/>
    <w:uiPriority w:val="99"/>
    <w:rPr>
      <w:rFonts w:ascii="Calibri" w:hAnsi="Calibri" w:eastAsia="仿宋" w:cs="Times New Roman"/>
      <w:sz w:val="18"/>
      <w:szCs w:val="18"/>
    </w:rPr>
  </w:style>
  <w:style w:type="paragraph" w:styleId="45">
    <w:name w:val="List Paragraph"/>
    <w:basedOn w:val="1"/>
    <w:qFormat/>
    <w:uiPriority w:val="99"/>
    <w:pPr>
      <w:ind w:firstLine="420" w:firstLineChars="20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 w:type="character" w:customStyle="1" w:styleId="52">
    <w:name w:val="font31"/>
    <w:basedOn w:val="22"/>
    <w:qFormat/>
    <w:uiPriority w:val="0"/>
    <w:rPr>
      <w:rFonts w:hint="default" w:ascii="Times New Roman" w:hAnsi="Times New Roman" w:cs="Times New Roman"/>
      <w:color w:val="000000"/>
      <w:sz w:val="24"/>
      <w:szCs w:val="24"/>
      <w:u w:val="none"/>
    </w:rPr>
  </w:style>
  <w:style w:type="character" w:customStyle="1" w:styleId="53">
    <w:name w:val="font41"/>
    <w:basedOn w:val="2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16</Pages>
  <Words>7746</Words>
  <Characters>8645</Characters>
  <Lines>69</Lines>
  <Paragraphs>19</Paragraphs>
  <TotalTime>366</TotalTime>
  <ScaleCrop>false</ScaleCrop>
  <LinksUpToDate>false</LinksUpToDate>
  <CharactersWithSpaces>8754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2023-11-16T01:47:07Z</cp:lastPrinted>
  <dcterms:modified xsi:type="dcterms:W3CDTF">2023-11-16T01:51:33Z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DA80F96F35F5414AB4B1E3BE5565E172</vt:lpwstr>
  </property>
</Properties>
</file>